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1985"/>
        <w:gridCol w:w="283"/>
        <w:gridCol w:w="1686"/>
        <w:gridCol w:w="1428"/>
        <w:gridCol w:w="981"/>
        <w:gridCol w:w="2993"/>
        <w:gridCol w:w="390"/>
      </w:tblGrid>
      <w:tr w:rsidR="006B50A3" w:rsidRPr="006B50A3" w:rsidTr="006B50A3">
        <w:trPr>
          <w:trHeight w:val="255"/>
        </w:trPr>
        <w:tc>
          <w:tcPr>
            <w:tcW w:w="1134"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3114"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Kabupaten Musi Rawas</w:t>
            </w:r>
          </w:p>
        </w:tc>
        <w:tc>
          <w:tcPr>
            <w:tcW w:w="981"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2993"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311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3114"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C. Kelompok Masyarakat Sipil</w:t>
            </w:r>
          </w:p>
        </w:tc>
        <w:tc>
          <w:tcPr>
            <w:tcW w:w="981"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2993"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1134"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68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428"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981"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2993"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360"/>
        </w:trPr>
        <w:tc>
          <w:tcPr>
            <w:tcW w:w="3402" w:type="dxa"/>
            <w:gridSpan w:val="3"/>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Isu dalam PGA REDD+</w:t>
            </w:r>
          </w:p>
        </w:tc>
        <w:tc>
          <w:tcPr>
            <w:tcW w:w="7088" w:type="dxa"/>
            <w:gridSpan w:val="4"/>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xml:space="preserve">:  I. Perencanaan Kehutanan dan Tata Ruang </w:t>
            </w:r>
          </w:p>
        </w:tc>
        <w:tc>
          <w:tcPr>
            <w:tcW w:w="390"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405"/>
        </w:trPr>
        <w:tc>
          <w:tcPr>
            <w:tcW w:w="311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6B50A3" w:rsidRPr="006B50A3" w:rsidTr="006B50A3">
        <w:trPr>
          <w:trHeight w:val="420"/>
        </w:trPr>
        <w:tc>
          <w:tcPr>
            <w:tcW w:w="311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7088" w:type="dxa"/>
            <w:gridSpan w:val="4"/>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390"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ook w:val="04A0"/>
      </w:tblPr>
      <w:tblGrid>
        <w:gridCol w:w="757"/>
        <w:gridCol w:w="1409"/>
        <w:gridCol w:w="1839"/>
        <w:gridCol w:w="1143"/>
        <w:gridCol w:w="1322"/>
        <w:gridCol w:w="1071"/>
        <w:gridCol w:w="1969"/>
        <w:gridCol w:w="1375"/>
      </w:tblGrid>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510"/>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CIa1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LSM yang memberikan masukan perencanaan kehutanan kurang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PU</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Ada namun jumlahnya kurang memadai. Kemungkinan LSM memiliki SDM yang terbatas untuk perencanaan wilayah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27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 jarang dilibatkan dalam perencanaan wilayah. Kalaupun ada jumlahnya kurang memadai dan seringkali keterlibatan LSM pada kegiatan pemerintah hanya di jadikan pelengkap proyek saja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Di Musi Rawas, LSM lebih banyak focus pada isu-isu korupsi. LSM yang focus pada isu dan kegiatan perencanaan wilayah kehuatanan jumlahnya masih terbatas.</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Ada LSM yang memerikan masukan namun jumlahnya belum memadai. Hal ini terkai dengan SDM LSM yang ada di Musi Rawas</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CIa2</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Materi yang disampaikan akti-vis LSM dalam pertemuan pem-bahasan </w:t>
            </w:r>
            <w:r w:rsidRPr="006B50A3">
              <w:rPr>
                <w:rFonts w:ascii="Times New Roman" w:eastAsia="Times New Roman" w:hAnsi="Times New Roman" w:cs="Times New Roman"/>
                <w:color w:val="000000"/>
                <w:sz w:val="20"/>
                <w:szCs w:val="20"/>
                <w:lang w:eastAsia="id-ID"/>
              </w:rPr>
              <w:lastRenderedPageBreak/>
              <w:t>perencanaan wilayah dan kehutanan</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lastRenderedPageBreak/>
              <w:t xml:space="preserve">Apakah materi yang disampaikan aktivis-LSM dalam pertemuan pembahasan perencanaan </w:t>
            </w:r>
            <w:r w:rsidRPr="006B50A3">
              <w:rPr>
                <w:rFonts w:ascii="Times New Roman" w:eastAsia="Times New Roman" w:hAnsi="Times New Roman" w:cs="Times New Roman"/>
                <w:color w:val="000000"/>
                <w:sz w:val="20"/>
                <w:szCs w:val="20"/>
                <w:lang w:eastAsia="id-ID"/>
              </w:rPr>
              <w:lastRenderedPageBreak/>
              <w:t>wilayah dan kehutanan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lastRenderedPageBreak/>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Materi yang disampaikan juga kurang memadai hal ini mungkin disebabkan oleh minimnya SDM di </w:t>
            </w:r>
            <w:r w:rsidRPr="006B50A3">
              <w:rPr>
                <w:rFonts w:ascii="Times New Roman" w:eastAsia="Times New Roman" w:hAnsi="Times New Roman" w:cs="Times New Roman"/>
                <w:color w:val="000000"/>
                <w:sz w:val="20"/>
                <w:szCs w:val="20"/>
                <w:lang w:eastAsia="id-ID"/>
              </w:rPr>
              <w:lastRenderedPageBreak/>
              <w:t>LSM</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lastRenderedPageBreak/>
              <w:t>2</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PU</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Kurang Memadai. LSM lebih banyak mengutarakan hal-hal yang bersipat politis / kebijakan perencanaan secara umum</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60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Materi yang disampaikan cukup memadai karena dilengkapi dengan data lapangan namun seringkali fakta-fakta yang disampaikan LSM ini mendapat resistensi dari dinas teknis terkait</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seperti yang banyak dipertanyakan oleh kawan-kawan LSM adalah mengenai tumpang tindih perijinan dalam satu kawasan hutan.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127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Isu yang sering diutarakan LSM di sini adalah mengenai tumpang tindih kebijakan di wilayah kehutanan. Jika dilihat dari argumentasi dan data yang mereka sampaikan cukup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255"/>
        </w:trPr>
        <w:tc>
          <w:tcPr>
            <w:tcW w:w="7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020"/>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CIb1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akademisi juga kurang memadai. Universitas Musi Rawas adalah yang paling sering dilibatkan dalam kegiatan dinas kehutanan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PU</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Ada namun jumlahnya kurang memadai. Universitas Musi Rawas memiliki keterbatasan SDM ahli perencanaan </w:t>
            </w:r>
            <w:r w:rsidRPr="006B50A3">
              <w:rPr>
                <w:rFonts w:ascii="Times New Roman" w:eastAsia="Times New Roman" w:hAnsi="Times New Roman" w:cs="Times New Roman"/>
                <w:color w:val="000000"/>
                <w:sz w:val="20"/>
                <w:szCs w:val="20"/>
                <w:lang w:eastAsia="id-ID"/>
              </w:rPr>
              <w:lastRenderedPageBreak/>
              <w:t>wilayah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lastRenderedPageBreak/>
              <w:t>2</w:t>
            </w:r>
          </w:p>
        </w:tc>
      </w:tr>
      <w:tr w:rsidR="006B50A3" w:rsidRPr="006B50A3" w:rsidTr="006B50A3">
        <w:trPr>
          <w:trHeight w:val="28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Di Musi Rawas ada Universitas Musi Rawas yang sering dilibatkan dalam kajian perencanaan wilayah dan untuk kegiatan yang lebih besar biasanya juga melibatkan Universitas Sriwijaya Palembang dan Universitas lain di pulau Jawa.  Namun jika dilihat dari jumlah akademisi yang ada di Univ. Musi Rawas jumlahnya belum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8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Keterlibatan akademisi dari Universitas Musi Rawas dalam perencanaan wilayah masih terbatas dan dari segi jumlah akademisi yang memiliki keahlian perencanaan wilayah masih kurang memadai. Terlebih Universitas Musi Rawas belum memiliki program studi yang spesifik pada kajian tata ruang</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CIb2</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Materi yang sisampaikan cukup memadai terutama untuk kajian yang bersifat akademis</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PU</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Beberapa hal yang disampaikan sudah didahului dengan penelitian awal.</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153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Materi yang disampaikan cukup Memadai karena data yang mereka dapat (univ. Musi Rawas) juga hasil pendampingan di masyarakat namun terkadang kurang mendapat respon positif dari pemerintah daerah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terutama akademisi lebih banyak mengangkat isu kapasitas Masyarakat Lokal</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255"/>
        </w:trPr>
        <w:tc>
          <w:tcPr>
            <w:tcW w:w="7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690"/>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6B50A3">
              <w:rPr>
                <w:rFonts w:ascii="Times New Roman" w:eastAsia="Times New Roman" w:hAnsi="Times New Roman" w:cs="Times New Roman"/>
                <w:b/>
                <w:bCs/>
                <w:color w:val="000000"/>
                <w:sz w:val="20"/>
                <w:szCs w:val="20"/>
                <w:lang w:eastAsia="id-ID"/>
              </w:rPr>
              <w:br/>
              <w:t xml:space="preserve">       </w:t>
            </w:r>
          </w:p>
        </w:tc>
      </w:tr>
      <w:tr w:rsidR="006B50A3" w:rsidRPr="006B50A3" w:rsidTr="006B50A3">
        <w:trPr>
          <w:trHeight w:val="390"/>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lastRenderedPageBreak/>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320"/>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CIc1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kurang memadai. Hanya ada satu atau dua kelompok masyarakat sipil yang betul-betul focus pada masalah lingkungan dan kehutanan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PU</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kelompok masyarakat yang menyampaikan kerugian masyarakat akibat perencanaan wilayah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Jika dilihat dari jumlah  tentu memadai. Hal ini bisa terlihat dari adanya liputan media massa local yang ada di Musi Rawas.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4</w:t>
            </w:r>
          </w:p>
        </w:tc>
      </w:tr>
      <w:tr w:rsidR="006B50A3" w:rsidRPr="006B50A3" w:rsidTr="006B50A3">
        <w:trPr>
          <w:trHeight w:val="153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Penyimpangan di tunjukkan oleh kelompok masyarakat sipil melalui media massa seperti pada isu sengketa wilayah antara masyarakat dan kelompok bisnis pada Suban IV. Dari segi jumlah jumlah kelompok masyarakat sipil cukup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250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Ada namun jumlahnya kurang memadai. Kelompok masyarakat sipil yang intens dan konsisten menyuarakan penyimpangan ini melalui media massa salah satunya yaitu Yayasan Adil Lestari (YALI). Beberapa LSM yang lain intens namun tidak focus pada isu teknis perencanaan.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CIc2</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Liputan Media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Kemampuannya kurang memadai karena kurang dilandasi atas pemahaman kebijakan yang ada.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PU</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Liputan Media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Kurang Memadai. Harus ada dasar yang jelas yang mennjukkan kerugian public akibat penyimpangan prosedur perencanaan wilayah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53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Liputan Media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Kemampuan mereka memadai dengan menampilkan data dan fakta lapangan. Pada Kasus Perijinan Tambang mereka juga melakukan investigasi sederhana untuk mengumpulkan data dan fakta yang ada di lapangan.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4</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Liputan Media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Jika dilihat dari pemberitaan media terhadap isu suban IV kemampuan mereka cukup memadai karena di dasari oleh data – data lapangan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Liputan Media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Kemampuannya cukup memadai. Beberapa kasus yang mereka suarakan melalui media massa didasarkan pada data dan fakta lapangan.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255"/>
        </w:trPr>
        <w:tc>
          <w:tcPr>
            <w:tcW w:w="7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360"/>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6897" w:type="dxa"/>
            <w:gridSpan w:val="5"/>
            <w:tcBorders>
              <w:top w:val="nil"/>
              <w:left w:val="nil"/>
              <w:bottom w:val="single" w:sz="4" w:space="0" w:color="auto"/>
              <w:right w:val="nil"/>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6B50A3">
              <w:rPr>
                <w:rFonts w:ascii="Times New Roman" w:eastAsia="Times New Roman" w:hAnsi="Times New Roman" w:cs="Times New Roman"/>
                <w:b/>
                <w:bCs/>
                <w:color w:val="000000"/>
                <w:sz w:val="20"/>
                <w:szCs w:val="20"/>
                <w:lang w:eastAsia="id-ID"/>
              </w:rPr>
              <w:br/>
            </w: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765"/>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CId1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LSM yang local yang memberikan pendampingan pemetaan wilayah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51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PU</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kurang memadai. LSM memiliki keterbatasan SDM perencana wilayah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27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Dari segi jumlah LSM belum memadai walaupun concern terhadap hal ini sangat besar namun Keterbatasan keuangan LSM menjadi salah satu factor  yang menentukan dalam hal ini.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78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Organisasi Masyarakat Adat Lokal</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Tahun 2003 ada LSM luar negeri. LSM local belum banyak yg melakukan kegiatan pendampingan. Tahun 2008 ada LSM yang melakukan pendampingan. Tahun 2011 dan 2012 ini malah tidak ada LSM local yang melakukan pendampingan pemetaan wilayah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Aktifitis LSM terutama LSM local di Musi Rawas yang melakukan pendampingan pada saat pemetaan wilayah sangat terbatas dari segi jumlah belum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27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Jika dilihat dari jumlahnya belum memadai. Karena pendampingan ini memerlukan dukungan biaya dan SDM yang baik. Kemampuan LSM di Musi Rawas masih terbatas terhadap dua factor tersebut.</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CId2</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25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PU</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Kurang memadai. Keterbatasan SDM</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78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Kemampuan social melalui pendekatan masyarakat cukup baik namun untuk kemapuan teknis pemetaan wilayah harus di dukung oleh teknologi dan SDM yang baik. Untuk kemampuan Teknologi dan SDM ini LSM di Musi Rawas masih kurang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Organisasi Masyarakat Adat Lokal</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Kurang memadai. Memiliki banyak keterbatasan teknis di lapangan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Kemampuan LSM khususnya LSM local di Musi Rawas yang mendampingi masyarakat dalam pemetaan wilayah masih belum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Jika dilihat dari jumlahnya belum memadai. Karena pendampingan ini memerlukan dukungan biaya dan SDM yang baik. Kemampuan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600"/>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6B50A3">
              <w:rPr>
                <w:rFonts w:ascii="Times New Roman" w:eastAsia="Times New Roman" w:hAnsi="Times New Roman" w:cs="Times New Roman"/>
                <w:b/>
                <w:bCs/>
                <w:color w:val="000000"/>
                <w:sz w:val="20"/>
                <w:szCs w:val="20"/>
                <w:lang w:eastAsia="id-ID"/>
              </w:rPr>
              <w:br/>
              <w:t xml:space="preserve">       </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3535" w:type="dxa"/>
            <w:gridSpan w:val="3"/>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(LSM: Pengurus)</w:t>
            </w: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lastRenderedPageBreak/>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530"/>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CIe1</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Kurang memadai karena Sumber dana dari Pribadi pengurus dan iuran Anggota.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600"/>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6B50A3">
              <w:rPr>
                <w:rFonts w:ascii="Times New Roman" w:eastAsia="Times New Roman" w:hAnsi="Times New Roman" w:cs="Times New Roman"/>
                <w:b/>
                <w:bCs/>
                <w:color w:val="000000"/>
                <w:sz w:val="20"/>
                <w:szCs w:val="20"/>
                <w:lang w:eastAsia="id-ID"/>
              </w:rPr>
              <w:br/>
              <w:t xml:space="preserve">       </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3535" w:type="dxa"/>
            <w:gridSpan w:val="3"/>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(LSM: Pengurus)</w:t>
            </w: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530"/>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CIf1</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Prosedur penyampaian hasil atau proses partisipasi</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Mekanisme pelaporan cukup memadai. Sebelum laporan dari masyarakat kami teruskan ke dinas teknis terkait untuk mendapatkan konfirmasi, kami menurunkan tim ke lapangan untuk mempelajari laporan/pengaduan masyarakat tersebut.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1020"/>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CIf2</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Standarisasi isi laporan hasil atau proses partisipasi</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Standarisasi laporan cukup memadai karena sebelumnya telah di turunkan tim untuk melakukan verifikasi lapangan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1020"/>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CIf3</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Forum penyampaian hasil atau proses partisipasi</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Cukup Memadai. Forum penyampaian hasil dilakukan melalui media massa dan klarifikasi langsung ke dinas teknis terkait.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1275"/>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CIf4</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Penetapan peserta forum penyampaian hasil atau proses partisipasi</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Penetapan forum belum memadai. Sejauh ini baru dilakukan melalui media massa dan klarifikasi langsung ke dinas terkait.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CIf5</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Mekanisme penyampaian masukan dari peserta forum</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karena bisa dilakukan melalui media massa dan juga klarifikasi langsung.</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255"/>
        </w:trPr>
        <w:tc>
          <w:tcPr>
            <w:tcW w:w="7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3988" w:type="dxa"/>
            <w:gridSpan w:val="3"/>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Isu dalam PGA REDD+</w:t>
            </w: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660"/>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6897" w:type="dxa"/>
            <w:gridSpan w:val="5"/>
            <w:tcBorders>
              <w:top w:val="nil"/>
              <w:left w:val="nil"/>
              <w:bottom w:val="single" w:sz="4" w:space="0" w:color="auto"/>
              <w:right w:val="nil"/>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020"/>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CIIa1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belum memadai. Sebagian besar kegiatan LSM lebih pada isu penyimpangan penggunaan anggaran dan penyalahgunaan wewenang dan jabatan.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belum memadai  dan mereka ini dulunya adalah jaringan walhi yang mendapat  pelatihan dari walhi sumsel</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78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Biro Hukum Pemda</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Keterlibatan masyarakat atau LSM yang memiliki kemampuan legal drafting belum maksimal terutama dari segi  jumlah LSM yang concern pada perencanaan hukum dan kebijakan. LSM di Musi Rawas lebih banyak menyoroti peristiwa atau kejadiannya saja seperti kasus korupsi dsb</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CIIa2</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Bukti keikutsertaan dalam pelatihan perancangan peraturan</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25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Biro Hukum Pemda</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Bagian hukum di Setda Musi Rawas hanya untuk harmonisasi hukum dan kebijakan saja. Kemungkinan datanya ada di SKPD terkait</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510"/>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CIIa3</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Lama waktu kerja sebagai legal drafter</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Berapa lama waktu kerja yang di-miliki aktivis-LSM sebagai legal drafter?</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Waktu kerja sangat terbatas / tidak memadai (kurang dari 3 bulan)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 jarang dilibatkan dalam penyusunan peraturan, beberapa hanya dilibatkan dalam penyusunan amdal dan dari segi waktu pun belum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Biro Hukum Pemda</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Pada penyusunan AMDAL misalnya waktu yang dibutuhkan jika menginginkan hasil yang maksimal masih kurang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630"/>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6B50A3">
              <w:rPr>
                <w:rFonts w:ascii="Times New Roman" w:eastAsia="Times New Roman" w:hAnsi="Times New Roman" w:cs="Times New Roman"/>
                <w:b/>
                <w:bCs/>
                <w:color w:val="000000"/>
                <w:sz w:val="20"/>
                <w:szCs w:val="20"/>
                <w:lang w:eastAsia="id-ID"/>
              </w:rPr>
              <w:br/>
              <w:t xml:space="preserve">   </w:t>
            </w:r>
          </w:p>
        </w:tc>
      </w:tr>
      <w:tr w:rsidR="006B50A3" w:rsidRPr="006B50A3" w:rsidTr="006B50A3">
        <w:trPr>
          <w:trHeight w:val="34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6897" w:type="dxa"/>
            <w:gridSpan w:val="5"/>
            <w:tcBorders>
              <w:top w:val="nil"/>
              <w:left w:val="nil"/>
              <w:bottom w:val="single" w:sz="4" w:space="0" w:color="auto"/>
              <w:right w:val="nil"/>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765"/>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CIIb1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Jika dilihat dari keterlibatan universitas local (univ. Musi Rawas) Jumlahnya belum memadai.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akademisi khususnya dari universitas Musi Rawas masih belum memadai. SDM yang ada pada saat ini sebagian besar dari fakultas Hukum</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04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Biro Hukum Pemda</w:t>
            </w:r>
          </w:p>
        </w:tc>
        <w:tc>
          <w:tcPr>
            <w:tcW w:w="1329"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Untuk Kajian Akademik, Universitas Musi Rawas adalah yang paling sering kami undang namun untuk isu tertentu dan lingkup masalahnya besar seperti kehutanan jumlah mereka sangat terbatas sehingga kami mengundang universitas di luar musi rawas seperti Universitas Sriwijaya.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255"/>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CIIb2</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Bukti keikutsertaan dalam pelatihan perancangan peraturan</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25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178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Biro Hukum Pemda</w:t>
            </w:r>
          </w:p>
        </w:tc>
        <w:tc>
          <w:tcPr>
            <w:tcW w:w="1329"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Untuk di Bagian Hukum sendiri belum ada yang pernah mengikuti Diklat Penyusunan dan Perancangan Peraturan, hanya sebatas Bimtek saja. Untuk Akademisi yang terlibat dalam kajian akademik penyusunan perda khusus masyarakat adat, kami tidak memiliki datanya.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255"/>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CIIb3</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Lama waktu kerja sebagai </w:t>
            </w:r>
            <w:r w:rsidRPr="006B50A3">
              <w:rPr>
                <w:rFonts w:ascii="Times New Roman" w:eastAsia="Times New Roman" w:hAnsi="Times New Roman" w:cs="Times New Roman"/>
                <w:color w:val="000000"/>
                <w:sz w:val="20"/>
                <w:szCs w:val="20"/>
                <w:lang w:eastAsia="id-ID"/>
              </w:rPr>
              <w:lastRenderedPageBreak/>
              <w:t>legal drafter</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lastRenderedPageBreak/>
              <w:t>Berapa lama waktu kerja yang di-</w:t>
            </w:r>
            <w:r w:rsidRPr="006B50A3">
              <w:rPr>
                <w:rFonts w:ascii="Times New Roman" w:eastAsia="Times New Roman" w:hAnsi="Times New Roman" w:cs="Times New Roman"/>
                <w:color w:val="000000"/>
                <w:sz w:val="20"/>
                <w:szCs w:val="20"/>
                <w:lang w:eastAsia="id-ID"/>
              </w:rPr>
              <w:lastRenderedPageBreak/>
              <w:t>miliki akademisi sebagai legal drafter?</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lastRenderedPageBreak/>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Tidak ada data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25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Akademisi</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102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Biro Hukum Pemda</w:t>
            </w:r>
          </w:p>
        </w:tc>
        <w:tc>
          <w:tcPr>
            <w:tcW w:w="1329"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Sama seperti LSM informasi yang kami terima dari kawan-kawan akademisi waktu kerja penyusunan draft kebijakan masih kurang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720"/>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6B50A3">
              <w:rPr>
                <w:rFonts w:ascii="Times New Roman" w:eastAsia="Times New Roman" w:hAnsi="Times New Roman" w:cs="Times New Roman"/>
                <w:b/>
                <w:bCs/>
                <w:color w:val="000000"/>
                <w:sz w:val="20"/>
                <w:szCs w:val="20"/>
                <w:lang w:eastAsia="id-ID"/>
              </w:rPr>
              <w:br/>
              <w:t xml:space="preserve">   </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(Pengurus: LSM &amp; Masyarakat Adat)</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800"/>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CIIc1</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LSM yang memiliki program masyarakat adat belum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Organisasi Masyarakat Adat Lokal</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Jumlahnya masih kurang memadai. </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d. Kode etik yang dipergunakan oleh LSM/jaringan LSM dalam melakukan pemantauan</w:t>
            </w:r>
            <w:r w:rsidRPr="006B50A3">
              <w:rPr>
                <w:rFonts w:ascii="Times New Roman" w:eastAsia="Times New Roman" w:hAnsi="Times New Roman" w:cs="Times New Roman"/>
                <w:b/>
                <w:bCs/>
                <w:color w:val="000000"/>
                <w:sz w:val="20"/>
                <w:szCs w:val="20"/>
                <w:lang w:eastAsia="id-ID"/>
              </w:rPr>
              <w:br/>
              <w:t xml:space="preserve">   </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6897" w:type="dxa"/>
            <w:gridSpan w:val="5"/>
            <w:tcBorders>
              <w:top w:val="nil"/>
              <w:left w:val="nil"/>
              <w:bottom w:val="single" w:sz="4" w:space="0" w:color="auto"/>
              <w:right w:val="nil"/>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6B50A3">
              <w:rPr>
                <w:rFonts w:ascii="Times New Roman" w:eastAsia="Times New Roman" w:hAnsi="Times New Roman" w:cs="Times New Roman"/>
                <w:b/>
                <w:bCs/>
                <w:color w:val="000000"/>
                <w:sz w:val="20"/>
                <w:szCs w:val="20"/>
                <w:lang w:eastAsia="id-ID"/>
              </w:rPr>
              <w:br/>
            </w: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255"/>
        </w:trPr>
        <w:tc>
          <w:tcPr>
            <w:tcW w:w="749" w:type="dxa"/>
            <w:vMerge w:val="restart"/>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CIId1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Kode etik memasukkan prinsip-prinsip good governance (6 prinsip)</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127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Kami menerapkan prinsip pratisipatif, transparan, pengakuan atas HESB masyarakat dan tentu saja pertanggungjawaban atas apa yang kami lakukan.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4</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Organisasi Masyarakat Adat Lokal</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Kurang Memadai. Beberapa hal sangat baik seperti partisipatif</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100"/>
        </w:trPr>
        <w:tc>
          <w:tcPr>
            <w:tcW w:w="7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CIId2</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Kredibilitas kode etik yang dipergunakan</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Kredibilitas LSM di Musi Rawas sebagian besar buruk. Ada banyak LSM yang hanya memanfaatkan isu tertentu untuk kepentingan sesaat. Namun demikian ada satu atau dua LSM yang betul-betul menjaga integritas mereka.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dan memang perlu penelusuran lebih lanjut untuk tingkat implementasinya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Organisasi Masyarakat Adat Lokal</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jika dilihat dari aspek partisipatifnya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61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6B50A3">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6897" w:type="dxa"/>
            <w:gridSpan w:val="5"/>
            <w:tcBorders>
              <w:top w:val="nil"/>
              <w:left w:val="nil"/>
              <w:bottom w:val="single" w:sz="4" w:space="0" w:color="auto"/>
              <w:right w:val="nil"/>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2040"/>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CIIe1</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Pemberitaan media lokal dan nasional seperti di tempo tentang meledaknya pipa pertamina di lahan yang tidak jauh dari permukiman masyarakat</w:t>
            </w:r>
          </w:p>
        </w:tc>
        <w:tc>
          <w:tcPr>
            <w:tcW w:w="1076"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Adanya liputan media tentang kerugian masyarakat terkait isu penyimpangan prosedur</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3988" w:type="dxa"/>
            <w:gridSpan w:val="3"/>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Isu dalam PGA REDD+</w:t>
            </w: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6897" w:type="dxa"/>
            <w:gridSpan w:val="5"/>
            <w:tcBorders>
              <w:top w:val="nil"/>
              <w:left w:val="nil"/>
              <w:bottom w:val="single" w:sz="4" w:space="0" w:color="auto"/>
              <w:right w:val="nil"/>
            </w:tcBorders>
            <w:shd w:val="clear" w:color="auto" w:fill="auto"/>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800"/>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CIIIa1</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double" w:sz="6" w:space="0" w:color="auto"/>
              <w:right w:val="double" w:sz="6"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kurang memadai. Katerbatasan Dana LSM dan rendahnya dukungan pemerintah daerah membuat program peningkatan kapasitas anggota relative hanya dilakukan oleh sebagian kecil LSM di Musi Rawas</w:t>
            </w:r>
          </w:p>
        </w:tc>
        <w:tc>
          <w:tcPr>
            <w:tcW w:w="1382"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70"/>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xml:space="preserve">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3535" w:type="dxa"/>
            <w:gridSpan w:val="3"/>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LSM (Pengurus terkait isu keterwakilan gender)</w:t>
            </w: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27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CIIIb1</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Sangat terkait dengan ketersediaan SDM yang ada.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CIIIb2</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Beberapa LSM cukup terwakili secara kelembagaan dalam berbagai forum multipihak</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1020"/>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CIIIb3</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forum pemilihan wakil LSM dalam lembaga/forum multipihak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Kurang Memadai. Terutama untuk forum-forum yang digagas oleh pemerintah. LSM yang terlibat umumnya adalah LSM yang pro dengan pemerintah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13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LSM, Polisi</w:t>
            </w:r>
          </w:p>
        </w:tc>
        <w:tc>
          <w:tcPr>
            <w:tcW w:w="132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xml:space="preserve">Kategori Data </w:t>
            </w:r>
            <w:r w:rsidRPr="006B50A3">
              <w:rPr>
                <w:rFonts w:ascii="Times New Roman" w:eastAsia="Times New Roman" w:hAnsi="Times New Roman" w:cs="Times New Roman"/>
                <w:b/>
                <w:bCs/>
                <w:color w:val="000000"/>
                <w:sz w:val="20"/>
                <w:szCs w:val="20"/>
                <w:lang w:eastAsia="id-ID"/>
              </w:rPr>
              <w:lastRenderedPageBreak/>
              <w:t>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800"/>
        </w:trPr>
        <w:tc>
          <w:tcPr>
            <w:tcW w:w="749"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lastRenderedPageBreak/>
              <w:t>CIIIc1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849"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Polres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Di Musi Rawas ada banyak LSM yang memantau korupsi dan isu kehutanan.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4</w:t>
            </w:r>
          </w:p>
        </w:tc>
      </w:tr>
      <w:tr w:rsidR="006B50A3" w:rsidRPr="006B50A3" w:rsidTr="006B50A3">
        <w:trPr>
          <w:trHeight w:val="1020"/>
        </w:trPr>
        <w:tc>
          <w:tcPr>
            <w:tcW w:w="749"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memadai terutama jika dilihat dari pengaduan yang disampaikan kepada aparat berwenang namun hanya sedikit yang ditindaklanjuti.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4</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3988" w:type="dxa"/>
            <w:gridSpan w:val="3"/>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Isu dalam PGA REDD+</w:t>
            </w: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3535" w:type="dxa"/>
            <w:gridSpan w:val="3"/>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LSM (Pengurus), Pejabat Pemberi Izin, Jurnalis</w:t>
            </w: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765"/>
        </w:trPr>
        <w:tc>
          <w:tcPr>
            <w:tcW w:w="7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CIVa1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849" w:type="dxa"/>
            <w:vMerge w:val="restart"/>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Kehutanan</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kurang memadai. Sebagian besar LSM tidak memasuki isu monitoring perijinan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kurang memadai karena focus kegiatan LSM pada isu pemberian izin kehutanan jumlahnya sedikit.</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530"/>
        </w:trPr>
        <w:tc>
          <w:tcPr>
            <w:tcW w:w="7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auto"/>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 di Musi Rawas lebih banyak concern ke isu-isu korupsi anggaran. Jumlah LSM yang memantau isu lingkungan dan kehutanan jumlahnya belum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6B50A3" w:rsidRPr="006B50A3" w:rsidTr="006B50A3">
        <w:trPr>
          <w:trHeight w:val="510"/>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13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LSM (Aktivis)</w:t>
            </w:r>
          </w:p>
        </w:tc>
        <w:tc>
          <w:tcPr>
            <w:tcW w:w="132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076"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27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CIVb1</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Pemahaman terhadap prinsip &amp; prosedur</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Pemahaman LSM terhadap prosedur perijinan cukup memadai. Hal ini terlihat dari cara LSM menindaklanjuti pengaduan masyarakat.</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127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CIVb2</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Strategi pelaksanaan monitoring</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Strategi monitoring belum memadai karena keterbatasan SDM</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CIVb3</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Bukti Keikutsertaan dalam pelatihan monitoring</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40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lastRenderedPageBreak/>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Pelaksanaan peningkatan kapasitas (Pengurus LSM) dan Masyarakat Adat/Lokal (Pengurus)</w:t>
            </w:r>
            <w:r w:rsidRPr="006B50A3">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1500"/>
        </w:trPr>
        <w:tc>
          <w:tcPr>
            <w:tcW w:w="749"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CIVc1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849"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Ada namun jumlahnya belum memadai.  Karena keterbatasan SDM dan Dana</w:t>
            </w:r>
          </w:p>
        </w:tc>
        <w:tc>
          <w:tcPr>
            <w:tcW w:w="1382"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020"/>
        </w:trPr>
        <w:tc>
          <w:tcPr>
            <w:tcW w:w="749"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Organisasi Masyarakat Adat Lokal</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kurang memadai. LSM memiliki keterbatasan SDM dan Dana dalam melakukan pendampingan dalam jangka waktu yang lama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500"/>
        </w:trPr>
        <w:tc>
          <w:tcPr>
            <w:tcW w:w="749"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CIVc2</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w:t>
            </w:r>
          </w:p>
        </w:tc>
        <w:tc>
          <w:tcPr>
            <w:tcW w:w="1849"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Jumlahnya belum memadai.  Karena keterbatasan SDM dan Dana</w:t>
            </w:r>
          </w:p>
        </w:tc>
        <w:tc>
          <w:tcPr>
            <w:tcW w:w="1382"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765"/>
        </w:trPr>
        <w:tc>
          <w:tcPr>
            <w:tcW w:w="749"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Organisasi Masyarakat Adat Lokal</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Isu dalam PGA REDD+</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245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xml:space="preserve">: V. Pengendalian dan Penegakan Hukum  </w:t>
            </w: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3535" w:type="dxa"/>
            <w:gridSpan w:val="3"/>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Pelaksanaan LSM, Masyarakat pelapor</w:t>
            </w:r>
            <w:r w:rsidRPr="006B50A3">
              <w:rPr>
                <w:rFonts w:ascii="Times New Roman" w:eastAsia="Times New Roman" w:hAnsi="Times New Roman" w:cs="Times New Roman"/>
                <w:b/>
                <w:bCs/>
                <w:color w:val="000000"/>
                <w:sz w:val="20"/>
                <w:szCs w:val="20"/>
                <w:lang w:eastAsia="id-ID"/>
              </w:rPr>
              <w:br/>
            </w: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76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CVa1</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LSM yang menerima pe-ngaduan masyarakat terkait ma-salah kehutanan</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Berapa jumlah pengaduan ma-syarakat yang diterima LSM?</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Tidak ada data </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LSMnya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4</w:t>
            </w:r>
          </w:p>
        </w:tc>
      </w:tr>
      <w:tr w:rsidR="006B50A3" w:rsidRPr="006B50A3" w:rsidTr="006B50A3">
        <w:trPr>
          <w:trHeight w:val="178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CVa2</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Isu pengaduan: </w:t>
            </w:r>
            <w:r w:rsidRPr="006B50A3">
              <w:rPr>
                <w:rFonts w:ascii="Times New Roman" w:eastAsia="Times New Roman" w:hAnsi="Times New Roman" w:cs="Times New Roman"/>
                <w:color w:val="000000"/>
                <w:sz w:val="20"/>
                <w:szCs w:val="20"/>
                <w:lang w:eastAsia="id-ID"/>
              </w:rPr>
              <w:br/>
              <w:t xml:space="preserve">a) Korupsi &amp; Kejahatan Kehutanan, </w:t>
            </w:r>
            <w:r w:rsidRPr="006B50A3">
              <w:rPr>
                <w:rFonts w:ascii="Times New Roman" w:eastAsia="Times New Roman" w:hAnsi="Times New Roman" w:cs="Times New Roman"/>
                <w:color w:val="000000"/>
                <w:sz w:val="20"/>
                <w:szCs w:val="20"/>
                <w:lang w:eastAsia="id-ID"/>
              </w:rPr>
              <w:br/>
              <w:t xml:space="preserve">b) Perencanaan, </w:t>
            </w:r>
            <w:r w:rsidRPr="006B50A3">
              <w:rPr>
                <w:rFonts w:ascii="Times New Roman" w:eastAsia="Times New Roman" w:hAnsi="Times New Roman" w:cs="Times New Roman"/>
                <w:color w:val="000000"/>
                <w:sz w:val="20"/>
                <w:szCs w:val="20"/>
                <w:lang w:eastAsia="id-ID"/>
              </w:rPr>
              <w:br/>
              <w:t>c) Hak &amp; Pengelolaan hutan &amp; lahan gambut</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Tidak ada data </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Isu korupsi, illegal logging dan pengelolaan kehutanan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4</w:t>
            </w:r>
          </w:p>
        </w:tc>
      </w:tr>
      <w:tr w:rsidR="006B50A3" w:rsidRPr="006B50A3" w:rsidTr="006B50A3">
        <w:trPr>
          <w:trHeight w:val="76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CVa3</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SOP penerimaan pengaduan</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SOP penerimaan pengaduan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Tidak ada data </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Pengaduan akan ditindaklanjuti dengan pengumpulan informasi awal di lapangan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76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CVa4</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Staf yang khusus ditugaskan menerima pengaduan</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SOP penerimaan pengaduan sudah memadai?</w:t>
            </w:r>
          </w:p>
        </w:tc>
        <w:tc>
          <w:tcPr>
            <w:tcW w:w="113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Tidak ada data </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staff khusus namun ada staf secretariat yang selalu bisa dihubungi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Isu dalam PGA REDD+</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245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VI. Infrastruktur REDD+</w:t>
            </w: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2459" w:type="dxa"/>
            <w:gridSpan w:val="2"/>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LSM (Pengurus), Satgas REDD+</w:t>
            </w:r>
            <w:r w:rsidRPr="006B50A3">
              <w:rPr>
                <w:rFonts w:ascii="Times New Roman" w:eastAsia="Times New Roman" w:hAnsi="Times New Roman" w:cs="Times New Roman"/>
                <w:b/>
                <w:bCs/>
                <w:color w:val="000000"/>
                <w:sz w:val="20"/>
                <w:szCs w:val="20"/>
                <w:lang w:eastAsia="id-ID"/>
              </w:rPr>
              <w:br/>
            </w: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lastRenderedPageBreak/>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765"/>
        </w:trPr>
        <w:tc>
          <w:tcPr>
            <w:tcW w:w="749"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CVIa1</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Jumlah LSM yang melakukan monitoring terhadap persiapan dan pelaksanaan REDD+</w:t>
            </w:r>
          </w:p>
        </w:tc>
        <w:tc>
          <w:tcPr>
            <w:tcW w:w="1849" w:type="dxa"/>
            <w:vMerge w:val="restart"/>
            <w:tcBorders>
              <w:top w:val="nil"/>
              <w:left w:val="single" w:sz="4" w:space="0" w:color="auto"/>
              <w:bottom w:val="single" w:sz="4" w:space="0" w:color="000000"/>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Satgas REDD+</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Ada namun jumlahnya belum memadai.  LSM yang focus pada isu teknis kehutanan dan lingkungan sangat sedikit</w:t>
            </w:r>
          </w:p>
        </w:tc>
        <w:tc>
          <w:tcPr>
            <w:tcW w:w="1382"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2</w:t>
            </w:r>
          </w:p>
        </w:tc>
      </w:tr>
      <w:tr w:rsidR="006B50A3" w:rsidRPr="006B50A3" w:rsidTr="006B50A3">
        <w:trPr>
          <w:trHeight w:val="1080"/>
        </w:trPr>
        <w:tc>
          <w:tcPr>
            <w:tcW w:w="749"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849" w:type="dxa"/>
            <w:vMerge/>
            <w:tcBorders>
              <w:top w:val="nil"/>
              <w:left w:val="single" w:sz="4" w:space="0" w:color="auto"/>
              <w:bottom w:val="single" w:sz="4" w:space="0" w:color="000000"/>
              <w:right w:val="single" w:sz="4" w:space="0" w:color="auto"/>
            </w:tcBorders>
            <w:vAlign w:val="center"/>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LSM yang melakukan pemantauan terhadap program REDD</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6897" w:type="dxa"/>
            <w:gridSpan w:val="5"/>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Wawancara – Sumber informasi</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2459" w:type="dxa"/>
            <w:gridSpan w:val="2"/>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LSM (Pengurus)</w:t>
            </w: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510"/>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CVIb1</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Keikutsertaan dalam pelatihan</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aktivis LSM memiliki bukti keikutsertaan dalam pelatihan?</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bukti kesikutsertaan dalam pelatihan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510"/>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CVIb2</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Pemahaman mengenai REDD+</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pemahaman aktivis LSM mengenai REDD+ sudah memadai?</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Menjaga kelestarian hutan, perdagangan karbon</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765"/>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CVIb3</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Pemahaman terhadap prinsip &amp; prosedur</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pemahaman aktivis LSM terhadap prinsip &amp; prosedur sudah memadai?</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memadai. Dibentuknya kelembagaan REDD di tingkat pusat dan daerah</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510"/>
        </w:trPr>
        <w:tc>
          <w:tcPr>
            <w:tcW w:w="749" w:type="dxa"/>
            <w:tcBorders>
              <w:top w:val="nil"/>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CVIb4</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Strategi pelaksanaan monitoring</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strategi pelaksanaan moni-toring sudah memadai?</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LSM</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Belum memadai. Kelembagaan REDD masih di dominasi oleh pemerintah / SKPD</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255"/>
        </w:trPr>
        <w:tc>
          <w:tcPr>
            <w:tcW w:w="7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90" w:type="dxa"/>
            <w:tcBorders>
              <w:top w:val="nil"/>
              <w:left w:val="nil"/>
              <w:bottom w:val="nil"/>
              <w:right w:val="nil"/>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849"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130"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329"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Indikator</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p>
        </w:tc>
        <w:tc>
          <w:tcPr>
            <w:tcW w:w="5515" w:type="dxa"/>
            <w:gridSpan w:val="4"/>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p>
        </w:tc>
      </w:tr>
      <w:tr w:rsidR="006B50A3" w:rsidRPr="006B50A3" w:rsidTr="006B50A3">
        <w:trPr>
          <w:trHeight w:val="255"/>
        </w:trPr>
        <w:tc>
          <w:tcPr>
            <w:tcW w:w="2139" w:type="dxa"/>
            <w:gridSpan w:val="2"/>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849"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2459" w:type="dxa"/>
            <w:gridSpan w:val="2"/>
            <w:tcBorders>
              <w:top w:val="nil"/>
              <w:left w:val="nil"/>
              <w:bottom w:val="nil"/>
              <w:right w:val="nil"/>
            </w:tcBorders>
            <w:shd w:val="clear" w:color="auto" w:fill="auto"/>
            <w:noWrap/>
            <w:hideMark/>
          </w:tcPr>
          <w:p w:rsidR="006B50A3" w:rsidRPr="006B50A3" w:rsidRDefault="006B50A3" w:rsidP="006B50A3">
            <w:pPr>
              <w:spacing w:after="240" w:line="240" w:lineRule="auto"/>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 Artikel/kolom dalam Media Cetak</w:t>
            </w:r>
          </w:p>
        </w:tc>
        <w:tc>
          <w:tcPr>
            <w:tcW w:w="1076"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980" w:type="dxa"/>
            <w:tcBorders>
              <w:top w:val="nil"/>
              <w:left w:val="nil"/>
              <w:bottom w:val="nil"/>
              <w:right w:val="nil"/>
            </w:tcBorders>
            <w:shd w:val="clear" w:color="auto" w:fill="auto"/>
            <w:noWrap/>
            <w:hideMark/>
          </w:tcPr>
          <w:p w:rsidR="006B50A3" w:rsidRPr="006B50A3" w:rsidRDefault="006B50A3" w:rsidP="006B50A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p>
        </w:tc>
      </w:tr>
      <w:tr w:rsidR="006B50A3" w:rsidRPr="006B50A3" w:rsidTr="006B50A3">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Kode</w:t>
            </w:r>
          </w:p>
        </w:tc>
        <w:tc>
          <w:tcPr>
            <w:tcW w:w="139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Panduan Analisis Dokumen</w:t>
            </w:r>
          </w:p>
        </w:tc>
        <w:tc>
          <w:tcPr>
            <w:tcW w:w="184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Pertanyaan Wawancara</w:t>
            </w:r>
          </w:p>
        </w:tc>
        <w:tc>
          <w:tcPr>
            <w:tcW w:w="113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Sumber Data</w:t>
            </w:r>
          </w:p>
        </w:tc>
        <w:tc>
          <w:tcPr>
            <w:tcW w:w="1329"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Dokumen</w:t>
            </w:r>
          </w:p>
        </w:tc>
        <w:tc>
          <w:tcPr>
            <w:tcW w:w="1076"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Dokumen</w:t>
            </w:r>
          </w:p>
        </w:tc>
        <w:tc>
          <w:tcPr>
            <w:tcW w:w="1980"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b/>
                <w:bCs/>
                <w:color w:val="000000"/>
                <w:sz w:val="20"/>
                <w:szCs w:val="20"/>
                <w:lang w:eastAsia="id-ID"/>
              </w:rPr>
            </w:pPr>
            <w:r w:rsidRPr="006B50A3">
              <w:rPr>
                <w:rFonts w:ascii="Times New Roman" w:eastAsia="Times New Roman" w:hAnsi="Times New Roman" w:cs="Times New Roman"/>
                <w:b/>
                <w:bCs/>
                <w:color w:val="000000"/>
                <w:sz w:val="20"/>
                <w:szCs w:val="20"/>
                <w:lang w:eastAsia="id-ID"/>
              </w:rPr>
              <w:t>Kategori Data Wawancara</w:t>
            </w:r>
          </w:p>
        </w:tc>
      </w:tr>
      <w:tr w:rsidR="006B50A3" w:rsidRPr="006B50A3" w:rsidTr="006B50A3">
        <w:trPr>
          <w:trHeight w:val="765"/>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CVIc1</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 xml:space="preserve">Cakupan berita mengenai persiapan atau pelaksanaan REDD+ </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cakupan berita mengenai persiapan atau pelaksanaan REDD+ sudah memadai?</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Beberapa kegiatan pokja REDD pernah kami muat namun jumlahnya belum memadai.</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r w:rsidR="006B50A3" w:rsidRPr="006B50A3" w:rsidTr="006B50A3">
        <w:trPr>
          <w:trHeight w:val="1275"/>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CVIc2</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Tidak ada data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Sebagai jurnalis informasi tentang REDD di Musi Rawas ini, kami sendiri belum sepenuhnya paham apalagi masyarakat awam</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r>
      <w:tr w:rsidR="006B50A3" w:rsidRPr="006B50A3" w:rsidTr="006B50A3">
        <w:trPr>
          <w:trHeight w:val="1020"/>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CVIc3</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Posisi berita (letak halaman pemberitaan)</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posisi berita (letak halaman pemberitaan) sudah strategis?</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Liputan Media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Linggau Pos cukup concern dengan isu kehutanan seperti illegal logging dsb. Isu-isu tersebut selalu kami muat pada posisi yang cukup strategis untuk dibaca.</w:t>
            </w:r>
          </w:p>
        </w:tc>
        <w:tc>
          <w:tcPr>
            <w:tcW w:w="1382"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3</w:t>
            </w:r>
          </w:p>
        </w:tc>
      </w:tr>
      <w:tr w:rsidR="006B50A3" w:rsidRPr="006B50A3" w:rsidTr="006B50A3">
        <w:trPr>
          <w:trHeight w:val="765"/>
        </w:trPr>
        <w:tc>
          <w:tcPr>
            <w:tcW w:w="749" w:type="dxa"/>
            <w:tcBorders>
              <w:top w:val="nil"/>
              <w:left w:val="single" w:sz="4" w:space="0" w:color="auto"/>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CVIc4</w:t>
            </w:r>
          </w:p>
        </w:tc>
        <w:tc>
          <w:tcPr>
            <w:tcW w:w="139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Posisi media dalam pemberitaan</w:t>
            </w:r>
          </w:p>
        </w:tc>
        <w:tc>
          <w:tcPr>
            <w:tcW w:w="184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30" w:type="dxa"/>
            <w:tcBorders>
              <w:top w:val="nil"/>
              <w:left w:val="nil"/>
              <w:bottom w:val="single" w:sz="4" w:space="0" w:color="auto"/>
              <w:right w:val="single" w:sz="4" w:space="0" w:color="auto"/>
            </w:tcBorders>
            <w:shd w:val="clear" w:color="auto" w:fill="auto"/>
            <w:noWrap/>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Jurnalis</w:t>
            </w:r>
          </w:p>
        </w:tc>
        <w:tc>
          <w:tcPr>
            <w:tcW w:w="1329"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Liputan Media</w:t>
            </w:r>
          </w:p>
        </w:tc>
        <w:tc>
          <w:tcPr>
            <w:tcW w:w="1076"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1</w:t>
            </w:r>
          </w:p>
        </w:tc>
        <w:tc>
          <w:tcPr>
            <w:tcW w:w="1980"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Cukup mendukung sepanjang memang bermanfaat bagi masyarakat musi rawas</w:t>
            </w:r>
          </w:p>
        </w:tc>
        <w:tc>
          <w:tcPr>
            <w:tcW w:w="1382" w:type="dxa"/>
            <w:tcBorders>
              <w:top w:val="nil"/>
              <w:left w:val="nil"/>
              <w:bottom w:val="single" w:sz="4" w:space="0" w:color="auto"/>
              <w:right w:val="single" w:sz="4" w:space="0" w:color="auto"/>
            </w:tcBorders>
            <w:shd w:val="clear" w:color="auto" w:fill="auto"/>
            <w:hideMark/>
          </w:tcPr>
          <w:p w:rsidR="006B50A3" w:rsidRPr="006B50A3" w:rsidRDefault="006B50A3" w:rsidP="006B50A3">
            <w:pPr>
              <w:spacing w:after="0" w:line="240" w:lineRule="auto"/>
              <w:jc w:val="center"/>
              <w:rPr>
                <w:rFonts w:ascii="Times New Roman" w:eastAsia="Times New Roman" w:hAnsi="Times New Roman" w:cs="Times New Roman"/>
                <w:color w:val="000000"/>
                <w:sz w:val="20"/>
                <w:szCs w:val="20"/>
                <w:lang w:eastAsia="id-ID"/>
              </w:rPr>
            </w:pPr>
            <w:r w:rsidRPr="006B50A3">
              <w:rPr>
                <w:rFonts w:ascii="Times New Roman" w:eastAsia="Times New Roman" w:hAnsi="Times New Roman" w:cs="Times New Roman"/>
                <w:color w:val="000000"/>
                <w:sz w:val="20"/>
                <w:szCs w:val="20"/>
                <w:lang w:eastAsia="id-ID"/>
              </w:rPr>
              <w:t>2</w:t>
            </w:r>
          </w:p>
        </w:tc>
      </w:tr>
    </w:tbl>
    <w:p w:rsidR="006B50A3" w:rsidRDefault="006B50A3"/>
    <w:sectPr w:rsidR="006B50A3"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B50A3"/>
    <w:rsid w:val="006E5970"/>
    <w:rsid w:val="009F3E98"/>
    <w:rsid w:val="00A91768"/>
    <w:rsid w:val="00B7116E"/>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6B50A3"/>
    <w:pPr>
      <w:spacing w:before="100" w:beforeAutospacing="1" w:after="100" w:afterAutospacing="1" w:line="240" w:lineRule="auto"/>
    </w:pPr>
    <w:rPr>
      <w:rFonts w:ascii="Calibri" w:eastAsia="Times New Roman" w:hAnsi="Calibri" w:cs="Times New Roman"/>
      <w:color w:val="000000"/>
      <w:sz w:val="18"/>
      <w:szCs w:val="18"/>
      <w:lang w:eastAsia="id-ID"/>
    </w:rPr>
  </w:style>
  <w:style w:type="paragraph" w:customStyle="1" w:styleId="font6">
    <w:name w:val="font6"/>
    <w:basedOn w:val="Normal"/>
    <w:rsid w:val="006B50A3"/>
    <w:pPr>
      <w:spacing w:before="100" w:beforeAutospacing="1" w:after="100" w:afterAutospacing="1" w:line="240" w:lineRule="auto"/>
    </w:pPr>
    <w:rPr>
      <w:rFonts w:ascii="Calibri" w:eastAsia="Times New Roman" w:hAnsi="Calibri" w:cs="Times New Roman"/>
      <w:b/>
      <w:bCs/>
      <w:color w:val="000000"/>
      <w:sz w:val="18"/>
      <w:szCs w:val="18"/>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595481532">
      <w:bodyDiv w:val="1"/>
      <w:marLeft w:val="0"/>
      <w:marRight w:val="0"/>
      <w:marTop w:val="0"/>
      <w:marBottom w:val="0"/>
      <w:divBdr>
        <w:top w:val="none" w:sz="0" w:space="0" w:color="auto"/>
        <w:left w:val="none" w:sz="0" w:space="0" w:color="auto"/>
        <w:bottom w:val="none" w:sz="0" w:space="0" w:color="auto"/>
        <w:right w:val="none" w:sz="0" w:space="0" w:color="auto"/>
      </w:divBdr>
    </w:div>
    <w:div w:id="132489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4802</Words>
  <Characters>27373</Characters>
  <Application>Microsoft Office Word</Application>
  <DocSecurity>0</DocSecurity>
  <Lines>228</Lines>
  <Paragraphs>64</Paragraphs>
  <ScaleCrop>false</ScaleCrop>
  <Company/>
  <LinksUpToDate>false</LinksUpToDate>
  <CharactersWithSpaces>32111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2012-10-16T07:09:00Z</dcterms:modified>
</cp:coreProperties>
</file>